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8" w:rsidRPr="00C33DF5" w:rsidRDefault="00D73F96" w:rsidP="00C33D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</w:pPr>
      <w:r w:rsidRPr="00C33DF5"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  <w:t xml:space="preserve">ПРОФИЛАКТИЧЕСКИЕ МЕДИЦИНСКИЕ ОСМОТРЫ И </w:t>
      </w:r>
      <w:r w:rsidR="006504D8" w:rsidRPr="00C33DF5"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  <w:t>ДИСПАНСЕРИЗАЦИЯ</w:t>
      </w:r>
    </w:p>
    <w:p w:rsidR="006504D8" w:rsidRPr="006741B3" w:rsidRDefault="006504D8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С мая 2019 года введен новый порядок проведения профилактических медицинских осмотров и диспансеризации взрослого населения в рамках системы обязательного мед</w:t>
      </w:r>
      <w:r w:rsidR="00082F22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ицинского страхования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.</w:t>
      </w:r>
    </w:p>
    <w:p w:rsidR="006741B3" w:rsidRPr="006741B3" w:rsidRDefault="006741B3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C33DF5">
        <w:rPr>
          <w:rFonts w:ascii="Arial" w:eastAsia="Times New Roman" w:hAnsi="Arial" w:cs="Arial"/>
          <w:b/>
          <w:color w:val="FF0000"/>
          <w:spacing w:val="0"/>
          <w:w w:val="100"/>
          <w:lang w:eastAsia="ru-RU"/>
        </w:rPr>
        <w:t>ПРОФИЛАКТИЧЕСКИЙ МЕДИЦИНСКИЙ ОСМОТР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6741B3" w:rsidRDefault="006741B3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C33DF5">
        <w:rPr>
          <w:rFonts w:ascii="Arial" w:eastAsia="Times New Roman" w:hAnsi="Arial" w:cs="Arial"/>
          <w:b/>
          <w:color w:val="FF0000"/>
          <w:spacing w:val="0"/>
          <w:w w:val="100"/>
          <w:lang w:eastAsia="ru-RU"/>
        </w:rPr>
        <w:t>ДИСПАНСЕРИЗАЦИЯ</w:t>
      </w:r>
      <w:r w:rsidRPr="006741B3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 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</w:t>
      </w:r>
      <w:r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.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C33DF5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Профилактические осмотры граждан старше 18 лет проводятся ежегодно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и включают в себя: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1)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анкетирование 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граждан в целях сбора анамнеза, выявления жалоб, симптомов, характерных для </w:t>
      </w:r>
      <w:proofErr w:type="gramStart"/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сердечно-сосудистых</w:t>
      </w:r>
      <w:proofErr w:type="gramEnd"/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, бронхо-легочных заболеваний, заболеваний желудочно-кишечного тракта; определения факторов риска, повышающих вероятность развития хрониче</w:t>
      </w:r>
      <w:r w:rsidR="00D73F96"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ских неинфекционных заболеваний;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2)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измерение роста, массы тела, окружности талии, расчет индекса массы тела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; 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3)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измерение артериального давления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; </w:t>
      </w:r>
    </w:p>
    <w:p w:rsidR="00AD22C5" w:rsidRPr="003A3752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4)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исследование уровня общего холестерина в крови</w:t>
      </w:r>
      <w:r w:rsidRPr="003A3752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;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5)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определение уровня глюкозы в крови натощак</w:t>
      </w:r>
      <w:r w:rsidR="003A3752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;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6)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определение относительного </w:t>
      </w:r>
      <w:proofErr w:type="gramStart"/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сердечно-сосудистого</w:t>
      </w:r>
      <w:proofErr w:type="gramEnd"/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риска у граждан в возрасте от 18 до 39 лет включительно;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7)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определение абсолютного </w:t>
      </w:r>
      <w:proofErr w:type="gramStart"/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сердечно-сосудистого</w:t>
      </w:r>
      <w:proofErr w:type="gramEnd"/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 риска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у граждан в возрасте от 40 до 64 лет включительно;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8)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флюорографию легких или рентгенографию легких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для граждан в возрасте 18 </w:t>
      </w:r>
      <w:r w:rsidR="00D73F96"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лет и старше 1 раз в 2 года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;</w:t>
      </w:r>
    </w:p>
    <w:p w:rsidR="00AC6187" w:rsidRPr="006741B3" w:rsidRDefault="00AC6187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9)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электрокардиографию в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покое при первом прохождении профилактического медицинского осмотра, далее в возрасте 35 лет и старше;</w:t>
      </w:r>
    </w:p>
    <w:p w:rsidR="00AC6187" w:rsidRPr="006741B3" w:rsidRDefault="00AC6187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10)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измерение внутриглазного давления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при первом прохождении профилактического медицинского осмотра, далее в возрасте 40 лет и старше;</w:t>
      </w:r>
    </w:p>
    <w:p w:rsidR="00AD22C5" w:rsidRPr="006741B3" w:rsidRDefault="00AC6187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11)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осмотр </w:t>
      </w:r>
      <w:r w:rsidR="003A3752"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 xml:space="preserve">женщин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фельдшером (акушеркой) или врачом акушером-гинекологом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;</w:t>
      </w:r>
    </w:p>
    <w:p w:rsidR="00AD22C5" w:rsidRPr="006741B3" w:rsidRDefault="00AD22C5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  <w:bookmarkStart w:id="0" w:name="Par170"/>
      <w:bookmarkStart w:id="1" w:name="Par171"/>
      <w:bookmarkEnd w:id="0"/>
      <w:bookmarkEnd w:id="1"/>
      <w:proofErr w:type="gramStart"/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12)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прием (осмотр)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</w:t>
      </w:r>
      <w:r w:rsidRPr="003A3752"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  <w:t>врачом-терапевтом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D73F96" w:rsidRPr="006741B3" w:rsidRDefault="00D73F96" w:rsidP="00C33DF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В дополнение к профилактическим осмотрам в год достижения соответствующего возраста проводятся исследования, направленные в первую очередь на выявление онкологических заболеваний на ранних стадиях или предрасположенности к ним.</w:t>
      </w:r>
      <w:r w:rsidR="001D5B9E"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Объем диспансеризации зависит от пола и возраста.</w:t>
      </w:r>
    </w:p>
    <w:p w:rsidR="006504D8" w:rsidRDefault="006504D8" w:rsidP="00C33D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Чтобы пройти </w:t>
      </w:r>
      <w:proofErr w:type="spellStart"/>
      <w:r w:rsidR="00F86511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профосмотр</w:t>
      </w:r>
      <w:proofErr w:type="spellEnd"/>
      <w:r w:rsidR="00F86511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или 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диспансеризацию, Вы можете обратиться к Вашему участковому терапевту (врачу общей практики). При обращении нужно предъявить всего два документа – паспорт и полис обязательного медицинского страхования.</w:t>
      </w:r>
    </w:p>
    <w:p w:rsidR="003A3752" w:rsidRDefault="003A3752" w:rsidP="00DB61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pacing w:val="0"/>
          <w:w w:val="100"/>
          <w:sz w:val="32"/>
          <w:szCs w:val="32"/>
          <w:lang w:eastAsia="ru-RU"/>
        </w:rPr>
        <w:sectPr w:rsidR="003A3752" w:rsidSect="003A375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B6132" w:rsidRPr="003A3752" w:rsidRDefault="003A3752" w:rsidP="00DB61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pacing w:val="0"/>
          <w:w w:val="100"/>
          <w:sz w:val="32"/>
          <w:szCs w:val="32"/>
          <w:lang w:eastAsia="ru-RU"/>
        </w:rPr>
      </w:pPr>
      <w:r w:rsidRPr="003A3752">
        <w:rPr>
          <w:rFonts w:ascii="Arial" w:eastAsia="Times New Roman" w:hAnsi="Arial" w:cs="Arial"/>
          <w:b/>
          <w:bCs/>
          <w:color w:val="008000"/>
          <w:spacing w:val="0"/>
          <w:w w:val="100"/>
          <w:sz w:val="32"/>
          <w:szCs w:val="32"/>
          <w:lang w:eastAsia="ru-RU"/>
        </w:rPr>
        <w:lastRenderedPageBreak/>
        <w:t>ПЕРЕЧЕНЬ ДОПОЛНИТЕЛЬНЫХ ОСМОТРОВ, ИССЛЕДОВАНИЙ, МЕРОПРИЯТИЙ, ПРОВОДИМЫХ В РАМКАХ ПЕРВОГО ЭТАПА ДИСПАНСЕРИЗАЦИИ</w:t>
      </w:r>
    </w:p>
    <w:p w:rsidR="00C33DF5" w:rsidRPr="006741B3" w:rsidRDefault="00C33DF5" w:rsidP="00DB61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</w:p>
    <w:tbl>
      <w:tblPr>
        <w:tblW w:w="10213" w:type="dxa"/>
        <w:tblInd w:w="101" w:type="dxa"/>
        <w:tblBorders>
          <w:top w:val="single" w:sz="4" w:space="0" w:color="36965B"/>
          <w:left w:val="single" w:sz="4" w:space="0" w:color="36965B"/>
          <w:bottom w:val="single" w:sz="4" w:space="0" w:color="36965B"/>
          <w:right w:val="single" w:sz="4" w:space="0" w:color="36965B"/>
          <w:insideH w:val="single" w:sz="4" w:space="0" w:color="36965B"/>
          <w:insideV w:val="single" w:sz="4" w:space="0" w:color="36965B"/>
        </w:tblBorders>
        <w:tblLook w:val="04A0" w:firstRow="1" w:lastRow="0" w:firstColumn="1" w:lastColumn="0" w:noHBand="0" w:noVBand="1"/>
      </w:tblPr>
      <w:tblGrid>
        <w:gridCol w:w="4943"/>
        <w:gridCol w:w="972"/>
        <w:gridCol w:w="2766"/>
        <w:gridCol w:w="1532"/>
      </w:tblGrid>
      <w:tr w:rsidR="00DB6132" w:rsidRPr="00DB6132" w:rsidTr="00852409">
        <w:trPr>
          <w:trHeight w:val="600"/>
        </w:trPr>
        <w:tc>
          <w:tcPr>
            <w:tcW w:w="4943" w:type="dxa"/>
            <w:vMerge w:val="restart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DB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70" w:type="dxa"/>
            <w:gridSpan w:val="3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1D5B9E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Возраст, лет</w:t>
            </w:r>
          </w:p>
        </w:tc>
      </w:tr>
      <w:tr w:rsidR="00DB6132" w:rsidRPr="00DB6132" w:rsidTr="00852409">
        <w:trPr>
          <w:trHeight w:val="600"/>
        </w:trPr>
        <w:tc>
          <w:tcPr>
            <w:tcW w:w="4943" w:type="dxa"/>
            <w:vMerge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vAlign w:val="center"/>
            <w:hideMark/>
          </w:tcPr>
          <w:p w:rsidR="00DB6132" w:rsidRPr="003A3752" w:rsidRDefault="00DB6132" w:rsidP="00DB613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18-39</w:t>
            </w: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40-64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65 и старше</w:t>
            </w:r>
          </w:p>
        </w:tc>
      </w:tr>
      <w:tr w:rsidR="00DB6132" w:rsidRPr="00DB6132" w:rsidTr="00852409">
        <w:trPr>
          <w:trHeight w:val="630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5270" w:type="dxa"/>
            <w:gridSpan w:val="3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1 раз в 3 года</w:t>
            </w:r>
          </w:p>
        </w:tc>
      </w:tr>
      <w:tr w:rsidR="00DB6132" w:rsidRPr="00DB6132" w:rsidTr="00852409">
        <w:trPr>
          <w:trHeight w:val="315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Общий анализ крови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ежегодно</w:t>
            </w:r>
          </w:p>
        </w:tc>
      </w:tr>
      <w:tr w:rsidR="00DB6132" w:rsidRPr="00DB6132" w:rsidTr="00852409">
        <w:trPr>
          <w:trHeight w:val="800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852409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hyperlink r:id="rId7" w:anchor="RANGE!Par2204" w:history="1">
              <w:r w:rsidR="00DB6132" w:rsidRPr="003A3752">
                <w:rPr>
                  <w:rFonts w:ascii="Arial" w:eastAsia="Times New Roman" w:hAnsi="Arial" w:cs="Arial"/>
                  <w:b/>
                  <w:color w:val="008000"/>
                  <w:spacing w:val="0"/>
                  <w:w w:val="100"/>
                  <w:sz w:val="28"/>
                  <w:szCs w:val="28"/>
                  <w:lang w:eastAsia="ru-RU"/>
                </w:rPr>
                <w:t>Исследование кала на скрытую кровь иммунохимическим методом</w:t>
              </w:r>
            </w:hyperlink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1 раз в 2 года (в годы, когда возраст делится на 2)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B6132" w:rsidRPr="003A3752" w:rsidRDefault="00DB613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ежегодно с 65 до 75 лет</w:t>
            </w:r>
          </w:p>
        </w:tc>
      </w:tr>
      <w:tr w:rsidR="003A3752" w:rsidRPr="00DB6132" w:rsidTr="00852409">
        <w:trPr>
          <w:trHeight w:val="529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proofErr w:type="spellStart"/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</w:tr>
      <w:tr w:rsidR="003A3752" w:rsidRPr="00DB6132" w:rsidTr="00852409">
        <w:trPr>
          <w:trHeight w:val="529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простат-специфического</w:t>
            </w:r>
            <w:proofErr w:type="gramEnd"/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 xml:space="preserve"> антигена (ПСА) в крови (мужчинам)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45, 50, 55, 60, 64 года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C3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</w:tr>
      <w:tr w:rsidR="003A1E12" w:rsidRPr="00DB6132" w:rsidTr="00852409">
        <w:trPr>
          <w:trHeight w:val="315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852409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hyperlink r:id="rId8" w:anchor="RANGE!Par2204" w:history="1">
              <w:r w:rsidR="003A3752" w:rsidRPr="003A3752">
                <w:rPr>
                  <w:rFonts w:ascii="Arial" w:eastAsia="Times New Roman" w:hAnsi="Arial" w:cs="Arial"/>
                  <w:b/>
                  <w:color w:val="008000"/>
                  <w:spacing w:val="0"/>
                  <w:w w:val="100"/>
                  <w:sz w:val="28"/>
                  <w:szCs w:val="28"/>
                  <w:lang w:eastAsia="ru-RU"/>
                </w:rPr>
                <w:t>Маммография обеих молочных желез в двух проекциях</w:t>
              </w:r>
            </w:hyperlink>
            <w:r w:rsidR="003A3752"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 xml:space="preserve"> (женщинам)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1 раз в 2 года (в годы, когда возраст делится на 2)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66, 68, 70, 72, 74  года</w:t>
            </w:r>
          </w:p>
        </w:tc>
      </w:tr>
      <w:tr w:rsidR="003A3752" w:rsidRPr="00DB6132" w:rsidTr="00852409">
        <w:trPr>
          <w:trHeight w:val="630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852409" w:rsidP="003A3752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hyperlink r:id="rId9" w:anchor="RANGE!Par2204" w:history="1">
              <w:r w:rsidR="003A3752" w:rsidRPr="003A3752">
                <w:rPr>
                  <w:rFonts w:ascii="Arial" w:eastAsia="Times New Roman" w:hAnsi="Arial" w:cs="Arial"/>
                  <w:b/>
                  <w:color w:val="008000"/>
                  <w:spacing w:val="0"/>
                  <w:w w:val="100"/>
                  <w:sz w:val="28"/>
                  <w:szCs w:val="28"/>
                  <w:lang w:eastAsia="ru-RU"/>
                </w:rPr>
                <w:t>Цитологическое исследование мазка с шейки матки</w:t>
              </w:r>
            </w:hyperlink>
            <w:r w:rsidR="003A3752"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 xml:space="preserve"> (женщинам)</w:t>
            </w:r>
          </w:p>
        </w:tc>
        <w:tc>
          <w:tcPr>
            <w:tcW w:w="3738" w:type="dxa"/>
            <w:gridSpan w:val="2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1 раз в 3 года (в годы, когда возраст делится на 3)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3A3752" w:rsidRPr="003A3752" w:rsidRDefault="003A3752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</w:p>
        </w:tc>
      </w:tr>
      <w:tr w:rsidR="00852409" w:rsidRPr="00DB6132" w:rsidTr="00852409">
        <w:trPr>
          <w:trHeight w:val="630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852409" w:rsidRPr="003A3752" w:rsidRDefault="00852409" w:rsidP="003A375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Прием (осмотр) врачом-терапевтом по результатам первого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852409" w:rsidRPr="003A3752" w:rsidRDefault="00852409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4298" w:type="dxa"/>
            <w:gridSpan w:val="2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</w:tcPr>
          <w:p w:rsidR="00852409" w:rsidRPr="003A3752" w:rsidRDefault="00852409" w:rsidP="00E01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3A3752">
              <w:rPr>
                <w:rFonts w:ascii="Arial" w:eastAsia="Times New Roman" w:hAnsi="Arial" w:cs="Arial"/>
                <w:b/>
                <w:color w:val="008000"/>
                <w:spacing w:val="0"/>
                <w:w w:val="100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1D5B9E" w:rsidRPr="006741B3" w:rsidRDefault="001D5B9E" w:rsidP="00DB61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pacing w:val="0"/>
          <w:w w:val="100"/>
          <w:lang w:eastAsia="ru-RU"/>
        </w:rPr>
      </w:pPr>
    </w:p>
    <w:p w:rsidR="008E0BCA" w:rsidRDefault="008E0BCA" w:rsidP="00680815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Arial" w:eastAsia="Times New Roman" w:hAnsi="Arial" w:cs="Arial"/>
          <w:b/>
          <w:color w:val="008000"/>
          <w:spacing w:val="0"/>
          <w:w w:val="100"/>
          <w:lang w:eastAsia="ru-RU"/>
        </w:rPr>
      </w:pPr>
    </w:p>
    <w:p w:rsidR="003A3752" w:rsidRDefault="003A3752">
      <w:pPr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  <w:br w:type="page"/>
      </w:r>
    </w:p>
    <w:p w:rsidR="00680815" w:rsidRDefault="00680815" w:rsidP="00680815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</w:pPr>
      <w:r w:rsidRPr="008E0BCA">
        <w:rPr>
          <w:rFonts w:ascii="Arial" w:eastAsia="Times New Roman" w:hAnsi="Arial" w:cs="Arial"/>
          <w:b/>
          <w:color w:val="008000"/>
          <w:spacing w:val="0"/>
          <w:w w:val="100"/>
          <w:sz w:val="28"/>
          <w:szCs w:val="28"/>
          <w:lang w:eastAsia="ru-RU"/>
        </w:rPr>
        <w:lastRenderedPageBreak/>
        <w:t>ВТОРОЙ ЭТАП ДИСПАНСЕРИЗАЦИИ</w:t>
      </w:r>
    </w:p>
    <w:p w:rsidR="00680815" w:rsidRPr="006741B3" w:rsidRDefault="00680815" w:rsidP="00C33DF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8E0BCA">
        <w:rPr>
          <w:rFonts w:ascii="Arial" w:eastAsia="Times New Roman" w:hAnsi="Arial" w:cs="Arial"/>
          <w:b/>
          <w:color w:val="FF0000"/>
          <w:spacing w:val="0"/>
          <w:w w:val="100"/>
          <w:lang w:eastAsia="ru-RU"/>
        </w:rPr>
        <w:t>ПРИ НАЛИЧИИ ПОКАЗАНИЙ</w:t>
      </w: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граждане, нуждающиеся по результатам первого этапа диспансеризации в дополнительном обследовании, направляются врачом-терапевтом на второй этап диспансеризации. </w:t>
      </w:r>
    </w:p>
    <w:p w:rsidR="00680815" w:rsidRPr="008E0BCA" w:rsidRDefault="00680815" w:rsidP="00C33DF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i/>
          <w:color w:val="FF0000"/>
          <w:spacing w:val="0"/>
          <w:w w:val="100"/>
          <w:lang w:eastAsia="ru-RU"/>
        </w:rPr>
      </w:pPr>
      <w:r w:rsidRPr="008E0BCA">
        <w:rPr>
          <w:rFonts w:ascii="Arial" w:eastAsia="Times New Roman" w:hAnsi="Arial" w:cs="Arial"/>
          <w:b/>
          <w:i/>
          <w:color w:val="FF0000"/>
          <w:spacing w:val="0"/>
          <w:w w:val="100"/>
          <w:lang w:eastAsia="ru-RU"/>
        </w:rPr>
        <w:t>НА ВТОРОМ ЭТАПЕ ДИСПАНСЕРИЗАЦИИ НАЗНАЧАЮТСЯ ТОЛЬКО ТЕ ВИДЫ ОБСЛЕДОВАНИЙ, КОТОРЫЕ НЕОБХОДИМЫ ПАЦИЕНТУ ПО ЕГО ЗАБОЛЕВАНИЮ (СОСТОЯНИЮ).</w:t>
      </w:r>
    </w:p>
    <w:p w:rsidR="00680815" w:rsidRPr="006741B3" w:rsidRDefault="00680815" w:rsidP="00C33DF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6741B3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На втором этапе диспансеризации могут быть назначены следующие обследования: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bookmarkStart w:id="3" w:name="Par192"/>
      <w:bookmarkEnd w:id="3"/>
      <w:proofErr w:type="gram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наблюдением);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proofErr w:type="gram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гиперхолестеринемия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простат-специфического</w:t>
      </w:r>
      <w:proofErr w:type="gram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антигена в крови более 4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нг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/мл);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4) осмотр (консультацию) врачом-хирургом или врачом-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колопроктологом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, включая проведение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ректороманоскопии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по семейному</w:t>
      </w:r>
      <w:proofErr w:type="gram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аденоматозу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5)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колоноскопию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колопроктолога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6)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эзофагогастродуоденоскопия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</w:t>
      </w: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lastRenderedPageBreak/>
        <w:t>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10) осмотр (консультация) врачом-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оториноларингологом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proofErr w:type="gram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гиперхолестеринемии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с уровнем общего холестерина 8 </w:t>
      </w:r>
      <w:proofErr w:type="spell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ммоль</w:t>
      </w:r>
      <w:proofErr w:type="spell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F291E" w:rsidRPr="000F291E" w:rsidRDefault="000F291E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  <w:bookmarkStart w:id="4" w:name="Par209"/>
      <w:bookmarkEnd w:id="4"/>
      <w:proofErr w:type="gramStart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10" w:history="1">
        <w:r w:rsidRPr="000F291E">
          <w:rPr>
            <w:rFonts w:ascii="Arial" w:eastAsia="Times New Roman" w:hAnsi="Arial" w:cs="Arial"/>
            <w:color w:val="008000"/>
            <w:spacing w:val="0"/>
            <w:w w:val="100"/>
            <w:lang w:eastAsia="ru-RU"/>
          </w:rPr>
          <w:t>Порядком</w:t>
        </w:r>
      </w:hyperlink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оказания медицинской помощи населению</w:t>
      </w:r>
      <w:proofErr w:type="gramEnd"/>
      <w:r w:rsidRPr="000F291E">
        <w:rPr>
          <w:rFonts w:ascii="Arial" w:eastAsia="Times New Roman" w:hAnsi="Arial" w:cs="Arial"/>
          <w:color w:val="008000"/>
          <w:spacing w:val="0"/>
          <w:w w:val="100"/>
          <w:lang w:eastAsia="ru-RU"/>
        </w:rPr>
        <w:t xml:space="preserve">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F08EA" w:rsidRPr="000F291E" w:rsidRDefault="005F08EA" w:rsidP="000F291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8000"/>
          <w:spacing w:val="0"/>
          <w:w w:val="100"/>
          <w:lang w:eastAsia="ru-RU"/>
        </w:rPr>
      </w:pPr>
    </w:p>
    <w:sectPr w:rsidR="005F08EA" w:rsidRPr="000F291E" w:rsidSect="00AC6187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DB7"/>
    <w:multiLevelType w:val="hybridMultilevel"/>
    <w:tmpl w:val="242C2DCC"/>
    <w:lvl w:ilvl="0" w:tplc="6A04AB8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11"/>
  <w:characterSpacingControl w:val="doNotCompress"/>
  <w:compat>
    <w:compatSetting w:name="compatibilityMode" w:uri="http://schemas.microsoft.com/office/word" w:val="12"/>
  </w:compat>
  <w:rsids>
    <w:rsidRoot w:val="006504D8"/>
    <w:rsid w:val="000363FD"/>
    <w:rsid w:val="00082F22"/>
    <w:rsid w:val="000F291E"/>
    <w:rsid w:val="00156569"/>
    <w:rsid w:val="001D5B9E"/>
    <w:rsid w:val="003A1E12"/>
    <w:rsid w:val="003A3752"/>
    <w:rsid w:val="004A385E"/>
    <w:rsid w:val="0050096C"/>
    <w:rsid w:val="00514035"/>
    <w:rsid w:val="005F08EA"/>
    <w:rsid w:val="00621A51"/>
    <w:rsid w:val="006504D8"/>
    <w:rsid w:val="006741B3"/>
    <w:rsid w:val="00680815"/>
    <w:rsid w:val="00745D2A"/>
    <w:rsid w:val="00852409"/>
    <w:rsid w:val="008E0BCA"/>
    <w:rsid w:val="008F24F7"/>
    <w:rsid w:val="00AC6187"/>
    <w:rsid w:val="00AD22C5"/>
    <w:rsid w:val="00C059E5"/>
    <w:rsid w:val="00C33DF5"/>
    <w:rsid w:val="00C91722"/>
    <w:rsid w:val="00CC4818"/>
    <w:rsid w:val="00D73F96"/>
    <w:rsid w:val="00DB6132"/>
    <w:rsid w:val="00E03B01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2"/>
        <w:w w:val="4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4D8"/>
    <w:rPr>
      <w:color w:val="0000FF"/>
      <w:u w:val="single"/>
    </w:rPr>
  </w:style>
  <w:style w:type="paragraph" w:styleId="a4">
    <w:name w:val="Normal (Web)"/>
    <w:basedOn w:val="a"/>
    <w:rsid w:val="006504D8"/>
    <w:pPr>
      <w:spacing w:after="0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5">
    <w:name w:val="Emphasis"/>
    <w:basedOn w:val="a0"/>
    <w:qFormat/>
    <w:rsid w:val="00650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yazanova\Documents\Documents\&#1040;&#1075;&#1080;&#1090;&#1072;&#1094;&#1080;&#1103;\&#1055;&#1088;&#1086;&#1077;&#1082;&#1090;&#1099;%202019\&#1054;&#1073;&#1098;&#1077;&#1084;%20&#1076;&#1080;&#1089;&#1087;%20124&#1085;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Ryazanova\Documents\Documents\&#1040;&#1075;&#1080;&#1090;&#1072;&#1094;&#1080;&#1103;\&#1055;&#1088;&#1086;&#1077;&#1082;&#1090;&#1099;%202019\&#1054;&#1073;&#1098;&#1077;&#1084;%20&#1076;&#1080;&#1089;&#1087;%20124&#1085;.xls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7E4BCFC722DBAB10C1969A0637BFCB74D3B80B583283A033AA713B19732FD55CC5F13F6F003C7E9DD54E2EF2449853BC877FDBDC3E0AD01A1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Ryazanova\Documents\Documents\&#1040;&#1075;&#1080;&#1090;&#1072;&#1094;&#1080;&#1103;\&#1055;&#1088;&#1086;&#1077;&#1082;&#1090;&#1099;%202019\&#1054;&#1073;&#1098;&#1077;&#1084;%20&#1076;&#1080;&#1089;&#1087;%20124&#108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0D8F-27D8-41AA-8664-C0B5169B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6</cp:revision>
  <cp:lastPrinted>2019-06-03T11:40:00Z</cp:lastPrinted>
  <dcterms:created xsi:type="dcterms:W3CDTF">2019-06-04T11:16:00Z</dcterms:created>
  <dcterms:modified xsi:type="dcterms:W3CDTF">2019-06-17T12:41:00Z</dcterms:modified>
</cp:coreProperties>
</file>